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90ADC" w14:textId="77777777" w:rsidR="00915417"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bookmarkStart w:id="1" w:name="_GoBack"/>
      <w:bookmarkEnd w:id="1"/>
      <w:r>
        <w:rPr>
          <w:color w:val="000000"/>
          <w:sz w:val="20"/>
          <w:u w:color="000000"/>
          <w:bdr w:val="nil"/>
        </w:rPr>
        <w:tab/>
        <w:t xml:space="preserve">  </w:t>
      </w:r>
    </w:p>
    <w:p w14:paraId="73919DAA" w14:textId="77777777" w:rsidR="00915417"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rPr>
      </w:pPr>
    </w:p>
    <w:bookmarkEnd w:id="0"/>
    <w:p w14:paraId="2A6B05C5" w14:textId="5BBAA848" w:rsidR="002E2AD6" w:rsidRDefault="002E2AD6" w:rsidP="002E2AD6">
      <w:pPr>
        <w:ind w:left="2127" w:hanging="284"/>
        <w:jc w:val="both"/>
      </w:pPr>
      <w:r>
        <w:t xml:space="preserve">       Comunicado de prensa n.º 40/2024</w:t>
      </w:r>
    </w:p>
    <w:p w14:paraId="324DC5B0" w14:textId="77777777" w:rsidR="004A0CB8" w:rsidRDefault="004A0CB8" w:rsidP="002E2AD6">
      <w:pPr>
        <w:ind w:left="2127" w:hanging="284"/>
        <w:jc w:val="both"/>
      </w:pPr>
    </w:p>
    <w:p w14:paraId="49DD18DC" w14:textId="77777777" w:rsidR="004A0CB8" w:rsidRPr="00F00152" w:rsidRDefault="004A0CB8" w:rsidP="004A0CB8">
      <w:pPr>
        <w:shd w:val="clear" w:color="auto" w:fill="FFFFFF"/>
        <w:ind w:left="2268"/>
        <w:jc w:val="both"/>
        <w:rPr>
          <w:b/>
          <w:bCs/>
          <w:iCs/>
          <w:color w:val="222222"/>
          <w:sz w:val="28"/>
          <w:szCs w:val="28"/>
        </w:rPr>
      </w:pPr>
      <w:r>
        <w:rPr>
          <w:b/>
          <w:color w:val="222222"/>
          <w:sz w:val="28"/>
        </w:rPr>
        <w:t>Inteligencia artificial, oportunidades a gestionar</w:t>
      </w:r>
    </w:p>
    <w:p w14:paraId="49A3D308" w14:textId="77777777" w:rsidR="005A1B5A" w:rsidRDefault="005A1B5A" w:rsidP="004A0CB8">
      <w:pPr>
        <w:shd w:val="clear" w:color="auto" w:fill="FFFFFF"/>
        <w:ind w:left="2268"/>
        <w:jc w:val="both"/>
        <w:rPr>
          <w:b/>
          <w:i/>
          <w:color w:val="222222"/>
        </w:rPr>
      </w:pPr>
    </w:p>
    <w:p w14:paraId="380BA5B2" w14:textId="77777777" w:rsidR="005A1B5A" w:rsidRDefault="004A0CB8" w:rsidP="004A0CB8">
      <w:pPr>
        <w:shd w:val="clear" w:color="auto" w:fill="FFFFFF"/>
        <w:ind w:left="2268"/>
        <w:jc w:val="both"/>
        <w:rPr>
          <w:b/>
          <w:i/>
          <w:color w:val="222222"/>
        </w:rPr>
      </w:pPr>
      <w:r>
        <w:rPr>
          <w:b/>
          <w:i/>
          <w:color w:val="222222"/>
        </w:rPr>
        <w:t>En EIMA International, lo último en IA. Las inversiones crecen con fuerza, pero Europa va por detrás de Estados Unidos y China. En Italia, el mercado pasó de 218 millones de euros en 2018 a 710 en 2023.</w:t>
      </w:r>
    </w:p>
    <w:p w14:paraId="0B5E40A2" w14:textId="31E06D50" w:rsidR="004A0CB8" w:rsidRPr="00F00152" w:rsidRDefault="004A0CB8" w:rsidP="004A0CB8">
      <w:pPr>
        <w:shd w:val="clear" w:color="auto" w:fill="FFFFFF"/>
        <w:ind w:left="2268"/>
        <w:jc w:val="both"/>
        <w:rPr>
          <w:color w:val="222222"/>
          <w:sz w:val="28"/>
          <w:szCs w:val="28"/>
        </w:rPr>
      </w:pPr>
      <w:r>
        <w:rPr>
          <w:b/>
          <w:i/>
          <w:color w:val="222222"/>
          <w:sz w:val="28"/>
        </w:rPr>
        <w:t> </w:t>
      </w:r>
    </w:p>
    <w:p w14:paraId="39E2493D" w14:textId="11C4A185" w:rsidR="004A0CB8" w:rsidRPr="004A0CB8" w:rsidRDefault="004A0CB8" w:rsidP="004A0CB8">
      <w:pPr>
        <w:shd w:val="clear" w:color="auto" w:fill="FFFFFF"/>
        <w:ind w:left="2268"/>
        <w:jc w:val="both"/>
        <w:outlineLvl w:val="1"/>
        <w:rPr>
          <w:color w:val="222222"/>
        </w:rPr>
      </w:pPr>
      <w:r>
        <w:rPr>
          <w:color w:val="222222"/>
        </w:rPr>
        <w:t xml:space="preserve">«Con la inteligencia artificial no se puede esperar y ver qué pasa. Debemos ser activos, porque estamos ante una revolución similar a la que </w:t>
      </w:r>
      <w:r w:rsidR="00DF0E53">
        <w:rPr>
          <w:color w:val="222222"/>
        </w:rPr>
        <w:t xml:space="preserve">supuso </w:t>
      </w:r>
      <w:r>
        <w:rPr>
          <w:color w:val="222222"/>
        </w:rPr>
        <w:t xml:space="preserve">la llegada de internet». Con estas palabras, Giampaolo Barbieri, director general de Barbieri srl y miembro del Consejo de Presidencia de FederUnacoma, ha destacado la importancia de la llegada de la inteligencia artificial a todos los sectores, incluida la agricultura. Lo ha hecho en Eima International durante el encuentro titulado «IA: las perspectivas de la industria» al que han asistido representantes del Cema (Comité Europeo de Asociaciones de Constructores de Maquinaria Agrícola), de la Universidad de Módena y Reggio Emilia y de importantes fabricantes, como John Deere y Cnh. </w:t>
      </w:r>
    </w:p>
    <w:p w14:paraId="39208074" w14:textId="2399A232" w:rsidR="004A0CB8" w:rsidRPr="004A0CB8" w:rsidRDefault="004A0CB8" w:rsidP="004A0CB8">
      <w:pPr>
        <w:shd w:val="clear" w:color="auto" w:fill="FFFFFF"/>
        <w:ind w:left="2268"/>
        <w:jc w:val="both"/>
        <w:rPr>
          <w:color w:val="222222"/>
        </w:rPr>
      </w:pPr>
      <w:r>
        <w:rPr>
          <w:color w:val="222222"/>
        </w:rPr>
        <w:t>Los avances de la inteligencia artificial son notables y las aplicaciones en la agricultura son numerosas. En el campo, gracias al reconocimiento visual, es posible identificar problemas fitopatológicos o deficiencias de riego y actuar rápidamente. Mediante robots dotados de inteligencia artificial –se ha subrayado durante la reunión– se pueden automatizar las operaciones de recolección y, en las labores posteriores, la IA se puede utilizar para seleccionar los frutos en el sector hortofrutícola y para optimizar los procesos de envasado.</w:t>
      </w:r>
    </w:p>
    <w:p w14:paraId="2EECAD12" w14:textId="43A80450" w:rsidR="004A0CB8" w:rsidRPr="004A0CB8" w:rsidRDefault="004A0CB8" w:rsidP="004A0CB8">
      <w:pPr>
        <w:shd w:val="clear" w:color="auto" w:fill="FFFFFF"/>
        <w:ind w:left="2268"/>
        <w:jc w:val="both"/>
        <w:rPr>
          <w:color w:val="222222"/>
        </w:rPr>
      </w:pPr>
      <w:r>
        <w:rPr>
          <w:color w:val="222222"/>
        </w:rPr>
        <w:t>Para Barbieri, la inteligencia artificial no es exclusiva de los gigantes industriales, sino una oportunidad extraordinaria también para las pequeñas y medianas empresas. «Un estudio reciente sobre este tipo de empresas –ha remarcado el consejero de FederUnacoma– ha demostrado que quienes están utilizando la IA en sus empresas tienen más del doble de posibilidades de generar ingresos y de crecer que las empresas que no han querido entrar en este mercado». Esto se debe a una mayor eficiencia, a la asistencia a la hora de tomar decisiones y a una mayor productividad. «La inteligencia artificial –ha concluido Barbieri– representa un verdadero impulso para las empresas y para nosotros los fabricantes».</w:t>
      </w:r>
    </w:p>
    <w:p w14:paraId="48B85797" w14:textId="037826ED" w:rsidR="004A0CB8" w:rsidRPr="004A0CB8" w:rsidRDefault="004A0CB8" w:rsidP="004A0CB8">
      <w:pPr>
        <w:shd w:val="clear" w:color="auto" w:fill="FFFFFF"/>
        <w:ind w:left="2268"/>
        <w:jc w:val="both"/>
        <w:rPr>
          <w:color w:val="222222"/>
        </w:rPr>
      </w:pPr>
      <w:r>
        <w:rPr>
          <w:color w:val="222222"/>
        </w:rPr>
        <w:t xml:space="preserve">El crecimiento de la IA en Italia lo confirman las cifras, que aumentan continuamente. En 2018, según datos del Politécnico de Milán, el mercado valía 210 millones de euros que, luego, aumentaron a 300 en 2020 y 500 en 2022. En 2023, últimos datos disponibles para Italia, alcanzaron los 760 millones de euros con un crecimiento del 52 % respecto a los 12 meses anteriores. Sin embargo, como señala Marko Bertogna, profesor titular de Ciencias Físicas, Informáticas y Matemáticas de la Universidad de Módena y Reggio Emilia, Europa se está quedando atrás: «Nunca es demasiado tarde para invertir y las posibilidades de expansión </w:t>
      </w:r>
      <w:r w:rsidR="00FC775F" w:rsidRPr="00FC775F">
        <w:rPr>
          <w:rStyle w:val="nfasis"/>
          <w:i w:val="0"/>
        </w:rPr>
        <w:t>siguen</w:t>
      </w:r>
      <w:r w:rsidR="00FC775F">
        <w:rPr>
          <w:rStyle w:val="nfasis"/>
        </w:rPr>
        <w:t xml:space="preserve"> </w:t>
      </w:r>
      <w:r w:rsidR="00FC775F">
        <w:t>presentes</w:t>
      </w:r>
      <w:r>
        <w:rPr>
          <w:color w:val="222222"/>
        </w:rPr>
        <w:t xml:space="preserve">. Pero vale la pena recordar que, en términos de inversiones, las diez principales empresas de este sector de alta tecnología son todas estadounidenses o chinas». Bertogna ha subrayado que hay varios productos listos para el sector de la mecanización agrícola, por ejemplo, en materia de conducción autónoma. EIMA International 2024 es el espejo de una evolución evidente. </w:t>
      </w:r>
    </w:p>
    <w:p w14:paraId="6EF0B5AC" w14:textId="77777777" w:rsidR="00E62EF9" w:rsidRDefault="00E62EF9" w:rsidP="00BD3494">
      <w:pPr>
        <w:ind w:left="2127" w:right="-150"/>
        <w:jc w:val="both"/>
        <w:rPr>
          <w:sz w:val="23"/>
          <w:szCs w:val="23"/>
        </w:rPr>
      </w:pPr>
    </w:p>
    <w:p w14:paraId="372C8417" w14:textId="17067530" w:rsidR="00774B84" w:rsidRPr="004A0CB8" w:rsidRDefault="00B31DBE" w:rsidP="004A0CB8">
      <w:pPr>
        <w:ind w:left="2127" w:right="-150"/>
        <w:jc w:val="both"/>
        <w:rPr>
          <w:sz w:val="23"/>
          <w:szCs w:val="23"/>
        </w:rPr>
      </w:pPr>
      <w:r>
        <w:rPr>
          <w:b/>
          <w:i/>
          <w:sz w:val="23"/>
        </w:rPr>
        <w:t xml:space="preserve">  Bolonia, 7 de noviembre de 2024</w:t>
      </w:r>
    </w:p>
    <w:sectPr w:rsidR="00774B84" w:rsidRPr="004A0CB8" w:rsidSect="00E62EF9">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B610B" w14:textId="77777777" w:rsidR="0046086E" w:rsidRDefault="0046086E">
      <w:r>
        <w:separator/>
      </w:r>
    </w:p>
  </w:endnote>
  <w:endnote w:type="continuationSeparator" w:id="0">
    <w:p w14:paraId="736A0921" w14:textId="77777777" w:rsidR="0046086E" w:rsidRDefault="00460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2F54E" w14:textId="77777777" w:rsidR="0046086E" w:rsidRDefault="0046086E">
      <w:r>
        <w:separator/>
      </w:r>
    </w:p>
  </w:footnote>
  <w:footnote w:type="continuationSeparator" w:id="0">
    <w:p w14:paraId="26BB08B3" w14:textId="77777777" w:rsidR="0046086E" w:rsidRDefault="004608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3EDED" w14:textId="77777777" w:rsidR="00774B84" w:rsidRDefault="002D6176">
    <w:pPr>
      <w:pStyle w:val="Encabezado"/>
    </w:pPr>
    <w:r>
      <w:rPr>
        <w:noProof/>
        <w:lang w:eastAsia="es-ES"/>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4A2"/>
    <w:rsid w:val="0003410A"/>
    <w:rsid w:val="00041381"/>
    <w:rsid w:val="00072B4D"/>
    <w:rsid w:val="000867E4"/>
    <w:rsid w:val="000B5BE7"/>
    <w:rsid w:val="000C42E5"/>
    <w:rsid w:val="000C552A"/>
    <w:rsid w:val="00123F64"/>
    <w:rsid w:val="00131C1D"/>
    <w:rsid w:val="00132C83"/>
    <w:rsid w:val="0016465E"/>
    <w:rsid w:val="001E4BD1"/>
    <w:rsid w:val="001F54A2"/>
    <w:rsid w:val="002205D6"/>
    <w:rsid w:val="002D6176"/>
    <w:rsid w:val="002E2AD6"/>
    <w:rsid w:val="003728AA"/>
    <w:rsid w:val="0038239F"/>
    <w:rsid w:val="00392F74"/>
    <w:rsid w:val="003B7256"/>
    <w:rsid w:val="004043E1"/>
    <w:rsid w:val="00427A0F"/>
    <w:rsid w:val="00455C8D"/>
    <w:rsid w:val="0046086E"/>
    <w:rsid w:val="004839AE"/>
    <w:rsid w:val="004A0CB8"/>
    <w:rsid w:val="004D7DCB"/>
    <w:rsid w:val="00557A6D"/>
    <w:rsid w:val="00590BF8"/>
    <w:rsid w:val="005A1B5A"/>
    <w:rsid w:val="006761F4"/>
    <w:rsid w:val="006E0FCB"/>
    <w:rsid w:val="006E2603"/>
    <w:rsid w:val="007148A8"/>
    <w:rsid w:val="00725234"/>
    <w:rsid w:val="00751C16"/>
    <w:rsid w:val="00774B84"/>
    <w:rsid w:val="007870B2"/>
    <w:rsid w:val="007912B3"/>
    <w:rsid w:val="007A5169"/>
    <w:rsid w:val="007F0871"/>
    <w:rsid w:val="00801795"/>
    <w:rsid w:val="008378A8"/>
    <w:rsid w:val="00851F4B"/>
    <w:rsid w:val="00864AF6"/>
    <w:rsid w:val="0088201C"/>
    <w:rsid w:val="008A4ED0"/>
    <w:rsid w:val="008B1420"/>
    <w:rsid w:val="008D5ECB"/>
    <w:rsid w:val="008E6666"/>
    <w:rsid w:val="008F40F3"/>
    <w:rsid w:val="00915417"/>
    <w:rsid w:val="009D6A2D"/>
    <w:rsid w:val="009F22FB"/>
    <w:rsid w:val="00A64A4D"/>
    <w:rsid w:val="00A676B9"/>
    <w:rsid w:val="00AE5CFA"/>
    <w:rsid w:val="00AF7E95"/>
    <w:rsid w:val="00B31DBE"/>
    <w:rsid w:val="00B50AE0"/>
    <w:rsid w:val="00B537C4"/>
    <w:rsid w:val="00B83EF9"/>
    <w:rsid w:val="00B907DB"/>
    <w:rsid w:val="00BA64C4"/>
    <w:rsid w:val="00BC5F3E"/>
    <w:rsid w:val="00BD3494"/>
    <w:rsid w:val="00BF58EF"/>
    <w:rsid w:val="00C041AD"/>
    <w:rsid w:val="00C75C43"/>
    <w:rsid w:val="00CA0B36"/>
    <w:rsid w:val="00CE1062"/>
    <w:rsid w:val="00CF1420"/>
    <w:rsid w:val="00CF5BC8"/>
    <w:rsid w:val="00D3234E"/>
    <w:rsid w:val="00D65F12"/>
    <w:rsid w:val="00DC159E"/>
    <w:rsid w:val="00DD0A4A"/>
    <w:rsid w:val="00DD36A6"/>
    <w:rsid w:val="00DE42DB"/>
    <w:rsid w:val="00DF0E53"/>
    <w:rsid w:val="00E041D8"/>
    <w:rsid w:val="00E34961"/>
    <w:rsid w:val="00E62EF9"/>
    <w:rsid w:val="00E90625"/>
    <w:rsid w:val="00EC2BD8"/>
    <w:rsid w:val="00F97AD1"/>
    <w:rsid w:val="00FC775F"/>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C7AE2C"/>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qFormat/>
    <w:pPr>
      <w:keepNext/>
      <w:ind w:hanging="567"/>
      <w:outlineLvl w:val="0"/>
    </w:pPr>
    <w:rPr>
      <w:sz w:val="28"/>
    </w:rPr>
  </w:style>
  <w:style w:type="paragraph" w:styleId="Ttulo3">
    <w:name w:val="heading 3"/>
    <w:basedOn w:val="Normal"/>
    <w:next w:val="Normal"/>
    <w:qFormat/>
    <w:pPr>
      <w:keepNext/>
      <w:ind w:left="-426" w:right="-427" w:hanging="141"/>
      <w:outlineLvl w:val="2"/>
    </w:pPr>
    <w:rPr>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819"/>
        <w:tab w:val="right" w:pos="9638"/>
      </w:tabs>
    </w:pPr>
  </w:style>
  <w:style w:type="paragraph" w:styleId="Piedepgina">
    <w:name w:val="footer"/>
    <w:basedOn w:val="Normal"/>
    <w:pPr>
      <w:tabs>
        <w:tab w:val="center" w:pos="4819"/>
        <w:tab w:val="right" w:pos="9638"/>
      </w:tabs>
    </w:pPr>
  </w:style>
  <w:style w:type="paragraph" w:styleId="Textoindependiente">
    <w:name w:val="Body Text"/>
    <w:basedOn w:val="Normal"/>
  </w:style>
  <w:style w:type="paragraph" w:customStyle="1" w:styleId="Terminedefinizione">
    <w:name w:val="Termine definizione"/>
    <w:basedOn w:val="Normal"/>
    <w:next w:val="Normal"/>
    <w:rPr>
      <w:snapToGrid w:val="0"/>
    </w:rPr>
  </w:style>
  <w:style w:type="paragraph" w:styleId="Sangradetextonormal">
    <w:name w:val="Body Text Indent"/>
    <w:basedOn w:val="Normal"/>
    <w:pPr>
      <w:ind w:left="-567"/>
    </w:pPr>
    <w:rPr>
      <w:sz w:val="28"/>
    </w:rPr>
  </w:style>
  <w:style w:type="character" w:styleId="Hipervnculo">
    <w:name w:val="Hyperlink"/>
    <w:basedOn w:val="Fuentedeprrafopredeter"/>
    <w:rsid w:val="004D7DCB"/>
    <w:rPr>
      <w:color w:val="0563C1" w:themeColor="hyperlink"/>
      <w:u w:val="single"/>
    </w:rPr>
  </w:style>
  <w:style w:type="character" w:customStyle="1" w:styleId="UnresolvedMention">
    <w:name w:val="Unresolved Mention"/>
    <w:basedOn w:val="Fuentedeprrafopredeter"/>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 w:type="paragraph" w:customStyle="1" w:styleId="xmsonormal">
    <w:name w:val="x_msonormal"/>
    <w:basedOn w:val="Normal"/>
    <w:rsid w:val="002205D6"/>
    <w:pPr>
      <w:spacing w:before="100" w:beforeAutospacing="1" w:after="100" w:afterAutospacing="1"/>
    </w:pPr>
    <w:rPr>
      <w14:ligatures w14:val="standardContextual"/>
    </w:rPr>
  </w:style>
  <w:style w:type="character" w:styleId="nfasis">
    <w:name w:val="Emphasis"/>
    <w:basedOn w:val="Fuentedeprrafopredeter"/>
    <w:uiPriority w:val="20"/>
    <w:qFormat/>
    <w:rsid w:val="00FC77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851404">
      <w:bodyDiv w:val="1"/>
      <w:marLeft w:val="0"/>
      <w:marRight w:val="0"/>
      <w:marTop w:val="0"/>
      <w:marBottom w:val="0"/>
      <w:divBdr>
        <w:top w:val="none" w:sz="0" w:space="0" w:color="auto"/>
        <w:left w:val="none" w:sz="0" w:space="0" w:color="auto"/>
        <w:bottom w:val="none" w:sz="0" w:space="0" w:color="auto"/>
        <w:right w:val="none" w:sz="0" w:space="0" w:color="auto"/>
      </w:divBdr>
    </w:div>
    <w:div w:id="545994093">
      <w:bodyDiv w:val="1"/>
      <w:marLeft w:val="0"/>
      <w:marRight w:val="0"/>
      <w:marTop w:val="0"/>
      <w:marBottom w:val="0"/>
      <w:divBdr>
        <w:top w:val="none" w:sz="0" w:space="0" w:color="auto"/>
        <w:left w:val="none" w:sz="0" w:space="0" w:color="auto"/>
        <w:bottom w:val="none" w:sz="0" w:space="0" w:color="auto"/>
        <w:right w:val="none" w:sz="0" w:space="0" w:color="auto"/>
      </w:divBdr>
    </w:div>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514</Words>
  <Characters>2833</Characters>
  <Application>Microsoft Office Word</Application>
  <DocSecurity>0</DocSecurity>
  <Lines>23</Lines>
  <Paragraphs>6</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3341</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Daniel Sau</cp:lastModifiedBy>
  <cp:revision>3</cp:revision>
  <cp:lastPrinted>2024-11-06T18:07:00Z</cp:lastPrinted>
  <dcterms:created xsi:type="dcterms:W3CDTF">2024-11-08T16:14:00Z</dcterms:created>
  <dcterms:modified xsi:type="dcterms:W3CDTF">2024-11-08T16:14:00Z</dcterms:modified>
</cp:coreProperties>
</file>